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35BB9" w:rsidRPr="001F3166" w:rsidRDefault="00935BB9" w:rsidP="00935BB9">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FF2DE7">
        <w:rPr>
          <w:rFonts w:eastAsia="Malgun Gothic"/>
          <w:noProof w:val="0"/>
          <w:sz w:val="24"/>
          <w:szCs w:val="24"/>
          <w:lang w:val="de-DE" w:eastAsia="ko-KR"/>
        </w:rPr>
        <w:t>904388</w:t>
      </w:r>
    </w:p>
    <w:bookmarkEnd w:id="0"/>
    <w:bookmarkEnd w:id="1"/>
    <w:p w:rsidR="000157DE" w:rsidRPr="0090404B" w:rsidRDefault="00935BB9" w:rsidP="00935BB9">
      <w:pPr>
        <w:pStyle w:val="Header"/>
        <w:spacing w:after="240"/>
        <w:rPr>
          <w:noProof w:val="0"/>
          <w:sz w:val="24"/>
          <w:szCs w:val="24"/>
          <w:lang w:val="en-US"/>
        </w:rPr>
      </w:pPr>
      <w:r>
        <w:rPr>
          <w:rFonts w:cs="Arial"/>
          <w:bCs/>
          <w:sz w:val="24"/>
          <w:szCs w:val="24"/>
          <w:lang w:eastAsia="ja-JP"/>
        </w:rPr>
        <w:t>Xian</w:t>
      </w:r>
      <w:r>
        <w:rPr>
          <w:rFonts w:cs="Arial"/>
          <w:bCs/>
          <w:sz w:val="24"/>
          <w:szCs w:val="24"/>
        </w:rPr>
        <w:t>, China, April 8</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12</w:t>
      </w:r>
      <w:r>
        <w:rPr>
          <w:rFonts w:cs="Arial"/>
          <w:bCs/>
          <w:sz w:val="24"/>
          <w:szCs w:val="24"/>
          <w:vertAlign w:val="superscript"/>
        </w:rPr>
        <w:t>th</w:t>
      </w:r>
      <w:r>
        <w:rPr>
          <w:rFonts w:cs="Arial"/>
          <w:bCs/>
          <w:sz w:val="24"/>
          <w:szCs w:val="24"/>
        </w:rPr>
        <w:t>, 2019</w:t>
      </w:r>
    </w:p>
    <w:p w:rsidR="005104E8" w:rsidRPr="001F3166" w:rsidRDefault="000157DE"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Pr>
          <w:rFonts w:ascii="Arial" w:eastAsia="Malgun Gothic" w:hAnsi="Arial"/>
          <w:sz w:val="24"/>
          <w:szCs w:val="24"/>
          <w:lang w:eastAsia="ko-KR"/>
        </w:rPr>
        <w:t>7.1.3</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bookmarkStart w:id="4" w:name="_GoBack"/>
      <w:bookmarkEnd w:id="4"/>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935BB9">
        <w:rPr>
          <w:rFonts w:ascii="Arial" w:eastAsia="SimSun" w:hAnsi="Arial" w:cs="Arial"/>
          <w:sz w:val="24"/>
          <w:szCs w:val="24"/>
          <w:lang w:eastAsia="zh-CN"/>
        </w:rPr>
        <w:t>PDCCH Monitoring for NR</w:t>
      </w:r>
      <w:r w:rsidR="000157DE">
        <w:rPr>
          <w:rFonts w:ascii="Arial" w:eastAsia="SimSun" w:hAnsi="Arial" w:cs="Arial"/>
          <w:sz w:val="24"/>
          <w:szCs w:val="24"/>
          <w:lang w:eastAsia="zh-CN"/>
        </w:rPr>
        <w:t>-DC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935BB9" w:rsidRDefault="00935BB9" w:rsidP="008470A5">
      <w:pPr>
        <w:spacing w:after="0"/>
        <w:ind w:right="3"/>
        <w:jc w:val="both"/>
        <w:rPr>
          <w:bCs/>
        </w:rPr>
      </w:pPr>
      <w:r>
        <w:rPr>
          <w:bCs/>
        </w:rPr>
        <w:t>NR</w:t>
      </w:r>
      <w:r w:rsidR="000157DE">
        <w:rPr>
          <w:bCs/>
        </w:rPr>
        <w:t xml:space="preserve">-DC operation is </w:t>
      </w:r>
      <w:r w:rsidR="00D5612D">
        <w:rPr>
          <w:bCs/>
        </w:rPr>
        <w:t xml:space="preserve">incomplete as </w:t>
      </w:r>
      <w:r w:rsidR="000157DE">
        <w:rPr>
          <w:bCs/>
        </w:rPr>
        <w:t xml:space="preserve">the description for how a UE monitors PDCCH </w:t>
      </w:r>
      <w:r w:rsidR="00D5612D">
        <w:rPr>
          <w:bCs/>
        </w:rPr>
        <w:t xml:space="preserve">is missing </w:t>
      </w:r>
      <w:r w:rsidR="000157DE">
        <w:rPr>
          <w:bCs/>
        </w:rPr>
        <w:t xml:space="preserve">[1]. RAN2 considered this issue in email discussions </w:t>
      </w:r>
      <w:r w:rsidR="001F2D9B">
        <w:rPr>
          <w:bCs/>
        </w:rPr>
        <w:t>([104_66])</w:t>
      </w:r>
      <w:r>
        <w:rPr>
          <w:bCs/>
        </w:rPr>
        <w:t>,</w:t>
      </w:r>
      <w:r w:rsidR="001F2D9B">
        <w:rPr>
          <w:bCs/>
        </w:rPr>
        <w:t xml:space="preserve"> </w:t>
      </w:r>
      <w:r w:rsidR="000157DE">
        <w:rPr>
          <w:bCs/>
        </w:rPr>
        <w:t>without conclusion</w:t>
      </w:r>
      <w:r>
        <w:rPr>
          <w:bCs/>
        </w:rPr>
        <w:t xml:space="preserve"> as this issue is primarily related to physical layer operation, and is waiting for </w:t>
      </w:r>
      <w:r w:rsidR="001F2D9B">
        <w:rPr>
          <w:bCs/>
        </w:rPr>
        <w:t>RAN1 input</w:t>
      </w:r>
      <w:r w:rsidR="000157DE">
        <w:rPr>
          <w:bCs/>
        </w:rPr>
        <w:t>.</w:t>
      </w:r>
      <w:r>
        <w:rPr>
          <w:bCs/>
        </w:rPr>
        <w:t xml:space="preserve"> This issue was briefly discussed in RAN1#96 without conclusion.</w:t>
      </w:r>
      <w:r w:rsidR="000157DE">
        <w:rPr>
          <w:bCs/>
        </w:rPr>
        <w:t xml:space="preserve"> </w:t>
      </w:r>
    </w:p>
    <w:p w:rsidR="00935BB9" w:rsidRDefault="00935BB9" w:rsidP="008470A5">
      <w:pPr>
        <w:spacing w:after="0"/>
        <w:ind w:right="3"/>
        <w:jc w:val="both"/>
        <w:rPr>
          <w:bCs/>
        </w:rPr>
      </w:pPr>
    </w:p>
    <w:p w:rsidR="000157DE" w:rsidRDefault="00935BB9" w:rsidP="008470A5">
      <w:pPr>
        <w:spacing w:after="0"/>
        <w:ind w:right="3"/>
        <w:jc w:val="both"/>
        <w:rPr>
          <w:bCs/>
        </w:rPr>
      </w:pPr>
      <w:r>
        <w:rPr>
          <w:bCs/>
        </w:rPr>
        <w:t>This contribution presents the justification for a corresponding CR</w:t>
      </w:r>
      <w:r w:rsidR="000157DE">
        <w:rPr>
          <w:bCs/>
        </w:rPr>
        <w:t xml:space="preserve"> in [2].</w:t>
      </w:r>
    </w:p>
    <w:p w:rsidR="00477008" w:rsidRDefault="00477008" w:rsidP="005E01B7">
      <w:pPr>
        <w:spacing w:after="0"/>
        <w:ind w:right="3"/>
        <w:jc w:val="both"/>
      </w:pPr>
    </w:p>
    <w:p w:rsidR="008470A5" w:rsidRDefault="008470A5" w:rsidP="005E01B7">
      <w:pPr>
        <w:spacing w:after="0"/>
        <w:ind w:right="3"/>
        <w:jc w:val="both"/>
      </w:pPr>
    </w:p>
    <w:p w:rsidR="00CE086A" w:rsidRDefault="000065AE" w:rsidP="00CE086A">
      <w:pPr>
        <w:pStyle w:val="Heading1"/>
        <w:spacing w:before="0" w:after="60"/>
        <w:rPr>
          <w:szCs w:val="36"/>
          <w:lang w:val="en-US"/>
        </w:rPr>
      </w:pPr>
      <w:r>
        <w:rPr>
          <w:szCs w:val="36"/>
          <w:lang w:val="en-US"/>
        </w:rPr>
        <w:t xml:space="preserve"> </w:t>
      </w:r>
      <w:r w:rsidR="00935BB9">
        <w:rPr>
          <w:szCs w:val="36"/>
          <w:lang w:val="en-US"/>
        </w:rPr>
        <w:t>PDCCH Monitoring for NR-</w:t>
      </w:r>
      <w:r w:rsidR="0034136F">
        <w:rPr>
          <w:szCs w:val="36"/>
          <w:lang w:val="en-US"/>
        </w:rPr>
        <w:t>DC</w:t>
      </w:r>
      <w:r w:rsidR="00CE086A">
        <w:rPr>
          <w:szCs w:val="36"/>
          <w:lang w:val="en-US"/>
        </w:rPr>
        <w:t xml:space="preserve"> </w:t>
      </w:r>
    </w:p>
    <w:p w:rsidR="001F2D9B" w:rsidRDefault="001F2D9B" w:rsidP="00E17BD4">
      <w:pPr>
        <w:pStyle w:val="B1"/>
        <w:spacing w:after="0"/>
        <w:ind w:left="0" w:firstLine="0"/>
        <w:jc w:val="both"/>
      </w:pPr>
      <w:r>
        <w:t>RAN2 considered the following options.</w:t>
      </w:r>
    </w:p>
    <w:p w:rsidR="001F2D9B" w:rsidRDefault="001F2D9B" w:rsidP="00E17BD4">
      <w:pPr>
        <w:pStyle w:val="B1"/>
        <w:spacing w:after="0"/>
        <w:ind w:left="0" w:firstLine="0"/>
        <w:jc w:val="both"/>
      </w:pPr>
    </w:p>
    <w:p w:rsidR="001F2D9B" w:rsidRPr="0058412E" w:rsidRDefault="001F2D9B" w:rsidP="001F2D9B">
      <w:pPr>
        <w:spacing w:after="120"/>
        <w:jc w:val="both"/>
      </w:pPr>
      <w:r w:rsidRPr="0058412E">
        <w:rPr>
          <w:u w:val="single"/>
        </w:rPr>
        <w:t>Option 1</w:t>
      </w:r>
      <w:r w:rsidRPr="0058412E">
        <w:t xml:space="preserve">. MN divides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58412E">
        <w:t xml:space="preserve"> between MN and SN (i.e. have </w:t>
      </w:r>
      <m:oMath>
        <m:sSubSup>
          <m:sSubSupPr>
            <m:ctrlPr>
              <w:rPr>
                <w:rFonts w:ascii="Cambria Math" w:hAnsi="Cambria Math"/>
                <w:i/>
              </w:rPr>
            </m:ctrlPr>
          </m:sSubSupPr>
          <m:e>
            <m:r>
              <w:rPr>
                <w:rFonts w:ascii="Cambria Math" w:hAnsi="Cambria Math"/>
              </w:rPr>
              <m:t>N</m:t>
            </m:r>
          </m:e>
          <m:sub>
            <m:r>
              <m:rPr>
                <m:nor/>
              </m:rPr>
              <m:t>cells,MCG</m:t>
            </m:r>
            <m:ctrlPr>
              <w:rPr>
                <w:rFonts w:ascii="Cambria Math" w:hAnsi="Cambria Math"/>
              </w:rPr>
            </m:ctrlPr>
          </m:sub>
          <m:sup>
            <m:r>
              <m:rPr>
                <m:nor/>
              </m:rPr>
              <m:t>cap</m:t>
            </m:r>
            <m:ctrlPr>
              <w:rPr>
                <w:rFonts w:ascii="Cambria Math" w:hAnsi="Cambria Math"/>
              </w:rPr>
            </m:ctrlPr>
          </m:sup>
        </m:sSubSup>
      </m:oMath>
      <w:r w:rsidRPr="0058412E">
        <w:t xml:space="preserve"> and </w:t>
      </w:r>
      <m:oMath>
        <m:sSubSup>
          <m:sSubSupPr>
            <m:ctrlPr>
              <w:rPr>
                <w:rFonts w:ascii="Cambria Math" w:hAnsi="Cambria Math"/>
                <w:i/>
              </w:rPr>
            </m:ctrlPr>
          </m:sSubSupPr>
          <m:e>
            <m:r>
              <w:rPr>
                <w:rFonts w:ascii="Cambria Math" w:hAnsi="Cambria Math"/>
              </w:rPr>
              <m:t>N</m:t>
            </m:r>
          </m:e>
          <m:sub>
            <m:r>
              <m:rPr>
                <m:nor/>
              </m:rPr>
              <m:t>cells,SCG</m:t>
            </m:r>
            <m:ctrlPr>
              <w:rPr>
                <w:rFonts w:ascii="Cambria Math" w:hAnsi="Cambria Math"/>
              </w:rPr>
            </m:ctrlPr>
          </m:sub>
          <m:sup>
            <m:r>
              <m:rPr>
                <m:nor/>
              </m:rPr>
              <m:t>cap</m:t>
            </m:r>
            <m:ctrlPr>
              <w:rPr>
                <w:rFonts w:ascii="Cambria Math" w:hAnsi="Cambria Math"/>
              </w:rPr>
            </m:ctrlPr>
          </m:sup>
        </m:sSubSup>
      </m:oMath>
      <w:r w:rsidRPr="0058412E">
        <w:t xml:space="preserve">) and lets SN and UE know allowed </w:t>
      </w:r>
      <m:oMath>
        <m:sSubSup>
          <m:sSubSupPr>
            <m:ctrlPr>
              <w:rPr>
                <w:rFonts w:ascii="Cambria Math" w:hAnsi="Cambria Math"/>
                <w:i/>
              </w:rPr>
            </m:ctrlPr>
          </m:sSubSupPr>
          <m:e>
            <m:r>
              <w:rPr>
                <w:rFonts w:ascii="Cambria Math" w:hAnsi="Cambria Math"/>
              </w:rPr>
              <m:t>N</m:t>
            </m:r>
          </m:e>
          <m:sub>
            <m:r>
              <m:rPr>
                <m:nor/>
              </m:rPr>
              <m:t>cells,SCG</m:t>
            </m:r>
            <m:ctrlPr>
              <w:rPr>
                <w:rFonts w:ascii="Cambria Math" w:hAnsi="Cambria Math"/>
              </w:rPr>
            </m:ctrlPr>
          </m:sub>
          <m:sup>
            <m:r>
              <m:rPr>
                <m:nor/>
              </m:rPr>
              <m:t>cap</m:t>
            </m:r>
            <m:ctrlPr>
              <w:rPr>
                <w:rFonts w:ascii="Cambria Math" w:hAnsi="Cambria Math"/>
              </w:rPr>
            </m:ctrlPr>
          </m:sup>
        </m:sSubSup>
      </m:oMath>
      <w:r w:rsidRPr="0058412E">
        <w:t xml:space="preserve"> and </w:t>
      </w:r>
      <m:oMath>
        <m:sSubSup>
          <m:sSubSupPr>
            <m:ctrlPr>
              <w:rPr>
                <w:rFonts w:ascii="Cambria Math" w:hAnsi="Cambria Math"/>
                <w:i/>
              </w:rPr>
            </m:ctrlPr>
          </m:sSubSupPr>
          <m:e>
            <m:r>
              <w:rPr>
                <w:rFonts w:ascii="Cambria Math" w:hAnsi="Cambria Math"/>
              </w:rPr>
              <m:t>N</m:t>
            </m:r>
          </m:e>
          <m:sub>
            <m:r>
              <m:rPr>
                <m:nor/>
              </m:rPr>
              <m:t>cells,MCG</m:t>
            </m:r>
            <m:ctrlPr>
              <w:rPr>
                <w:rFonts w:ascii="Cambria Math" w:hAnsi="Cambria Math"/>
              </w:rPr>
            </m:ctrlPr>
          </m:sub>
          <m:sup>
            <m:r>
              <m:rPr>
                <m:nor/>
              </m:rPr>
              <m:t>cap</m:t>
            </m:r>
            <m:ctrlPr>
              <w:rPr>
                <w:rFonts w:ascii="Cambria Math" w:hAnsi="Cambria Math"/>
              </w:rPr>
            </m:ctrlPr>
          </m:sup>
        </m:sSubSup>
      </m:oMath>
      <w:r w:rsidRPr="0058412E">
        <w:t>.</w:t>
      </w:r>
    </w:p>
    <w:p w:rsidR="001F2D9B" w:rsidRPr="0058412E" w:rsidRDefault="001F2D9B" w:rsidP="001F2D9B">
      <w:pPr>
        <w:spacing w:after="120"/>
        <w:jc w:val="both"/>
      </w:pPr>
      <w:r w:rsidRPr="0058412E">
        <w:rPr>
          <w:u w:val="single"/>
        </w:rPr>
        <w:t>Option 2</w:t>
      </w:r>
      <w:r w:rsidRPr="0058412E">
        <w:t xml:space="preserve">. MN and SN exchange the values of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58412E">
        <w:t xml:space="preserve"> of each cell group for each SCS configuration </w:t>
      </w:r>
      <m:oMath>
        <m:r>
          <w:rPr>
            <w:rFonts w:ascii="Cambria Math" w:hAnsi="Cambria Math"/>
          </w:rPr>
          <m:t>μ</m:t>
        </m:r>
      </m:oMath>
      <w:r w:rsidRPr="0058412E">
        <w:t xml:space="preserve">. </w:t>
      </w:r>
    </w:p>
    <w:p w:rsidR="001F2D9B" w:rsidRPr="0058412E" w:rsidRDefault="001F2D9B" w:rsidP="001F2D9B">
      <w:pPr>
        <w:spacing w:after="120"/>
        <w:jc w:val="both"/>
      </w:pPr>
      <w:r w:rsidRPr="0058412E">
        <w:rPr>
          <w:u w:val="single"/>
        </w:rPr>
        <w:t>Option 3</w:t>
      </w:r>
      <w:r w:rsidRPr="0058412E">
        <w:t xml:space="preserve">. MN derives maximum allowed number of cells for each SCS configuration </w:t>
      </w:r>
      <m:oMath>
        <m:r>
          <w:rPr>
            <w:rFonts w:ascii="Cambria Math" w:hAnsi="Cambria Math"/>
          </w:rPr>
          <m:t>μ</m:t>
        </m:r>
      </m:oMath>
      <w:r w:rsidRPr="0058412E">
        <w:t xml:space="preserve"> and informs it to SN.</w:t>
      </w:r>
    </w:p>
    <w:p w:rsidR="001F2D9B" w:rsidRPr="001F2D9B" w:rsidRDefault="001F2D9B" w:rsidP="001F2D9B">
      <w:pPr>
        <w:spacing w:after="0"/>
        <w:jc w:val="both"/>
      </w:pPr>
      <w:r w:rsidRPr="0058412E">
        <w:rPr>
          <w:u w:val="single"/>
        </w:rPr>
        <w:t>Option 4</w:t>
      </w:r>
      <w:r w:rsidRPr="0058412E">
        <w:t xml:space="preserve">. The parameter </w:t>
      </w:r>
      <w:r w:rsidRPr="0058412E">
        <w:rPr>
          <w:i/>
        </w:rPr>
        <w:t>pdcch-BlindDetectionCA</w:t>
      </w:r>
      <w:r w:rsidRPr="0058412E">
        <w:t xml:space="preserve"> is set to a dummy value and the UE only report capabilities for a number of CCs</w:t>
      </w:r>
      <w:r w:rsidRPr="001F2D9B">
        <w:t xml:space="preserve"> that can comply with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1F2D9B">
        <w:t>.</w:t>
      </w:r>
    </w:p>
    <w:p w:rsidR="001F2D9B" w:rsidRDefault="001F2D9B" w:rsidP="00E17BD4">
      <w:pPr>
        <w:pStyle w:val="B1"/>
        <w:spacing w:after="0"/>
        <w:ind w:left="0" w:firstLine="0"/>
        <w:jc w:val="both"/>
      </w:pPr>
    </w:p>
    <w:p w:rsidR="001F2D9B" w:rsidRDefault="001F2D9B" w:rsidP="00E17BD4">
      <w:pPr>
        <w:pStyle w:val="B1"/>
        <w:spacing w:after="0"/>
        <w:ind w:left="0" w:firstLine="0"/>
        <w:jc w:val="both"/>
      </w:pPr>
      <w:r>
        <w:t xml:space="preserve">From a RAN1 perspective, the attributes of the above options </w:t>
      </w:r>
      <w:r w:rsidR="00C45B69">
        <w:t>include the following</w:t>
      </w:r>
      <w:r>
        <w:t>.</w:t>
      </w:r>
    </w:p>
    <w:p w:rsidR="001F2D9B" w:rsidRDefault="001F2D9B" w:rsidP="00E17BD4">
      <w:pPr>
        <w:pStyle w:val="B1"/>
        <w:spacing w:after="0"/>
        <w:ind w:left="0" w:firstLine="0"/>
        <w:jc w:val="both"/>
      </w:pPr>
    </w:p>
    <w:p w:rsidR="001F2D9B" w:rsidRDefault="001F2D9B" w:rsidP="00E17BD4">
      <w:pPr>
        <w:pStyle w:val="B1"/>
        <w:spacing w:after="0"/>
        <w:ind w:left="0" w:firstLine="0"/>
        <w:jc w:val="both"/>
      </w:pPr>
      <w:r>
        <w:t>Option 1</w:t>
      </w:r>
      <w:r w:rsidR="00985C55">
        <w:t xml:space="preserve"> is</w:t>
      </w:r>
      <w:r w:rsidR="00F50C62">
        <w:t xml:space="preserve"> semi-static sharing</w:t>
      </w:r>
      <w:r>
        <w:t xml:space="preserve"> </w:t>
      </w:r>
      <w:r w:rsidR="00985C55">
        <w:t>of the UE capability between</w:t>
      </w:r>
      <w:r>
        <w:t xml:space="preserve"> MN and SN. It</w:t>
      </w:r>
      <w:r w:rsidR="00985C55">
        <w:t xml:space="preserve"> may be viewed as suboptimal as</w:t>
      </w:r>
      <w:r>
        <w:t xml:space="preserve"> the UE cannot dynamically alloc</w:t>
      </w:r>
      <w:r w:rsidR="00985C55">
        <w:t>ate PDCCH candidates between CGs</w:t>
      </w:r>
      <w:r>
        <w:t xml:space="preserve"> but</w:t>
      </w:r>
      <w:r w:rsidR="00985C55">
        <w:t>,</w:t>
      </w:r>
      <w:r>
        <w:t xml:space="preserve"> as it is </w:t>
      </w:r>
      <w:r w:rsidR="00985C55">
        <w:t>subsequently discussed, dynamic sharing</w:t>
      </w:r>
      <w:r>
        <w:t xml:space="preserve"> </w:t>
      </w:r>
      <w:r w:rsidR="00985C55">
        <w:t>is not generally possible</w:t>
      </w:r>
      <w:r>
        <w:t>. Option 1 has no impact on RAN1 specifications (other than capturing it in TS38.213).</w:t>
      </w:r>
    </w:p>
    <w:p w:rsidR="001F2D9B" w:rsidRDefault="001F2D9B" w:rsidP="00E17BD4">
      <w:pPr>
        <w:pStyle w:val="B1"/>
        <w:spacing w:after="0"/>
        <w:ind w:left="0" w:firstLine="0"/>
        <w:jc w:val="both"/>
      </w:pPr>
    </w:p>
    <w:p w:rsidR="00F50C62" w:rsidRDefault="00F50C62" w:rsidP="00E17BD4">
      <w:pPr>
        <w:pStyle w:val="B1"/>
        <w:spacing w:after="0"/>
        <w:ind w:left="0" w:firstLine="0"/>
        <w:jc w:val="both"/>
      </w:pPr>
      <w:r>
        <w:t xml:space="preserve">Options 2 and 3 limit the signaling exchange between the MN and the SN </w:t>
      </w:r>
      <w:r w:rsidR="00CE09CA">
        <w:t xml:space="preserve">or only to the SN </w:t>
      </w:r>
      <w:r>
        <w:t>without the UE knowing how its PDCCH monitoring capability</w:t>
      </w:r>
      <w:r w:rsidR="00CE09CA">
        <w:t xml:space="preserve"> is partitioned. This implies </w:t>
      </w:r>
      <w:r>
        <w:t xml:space="preserve">dynamic sharing for the UE capability. </w:t>
      </w:r>
    </w:p>
    <w:p w:rsidR="00F50C62" w:rsidRDefault="00F50C62" w:rsidP="00E17BD4">
      <w:pPr>
        <w:pStyle w:val="B1"/>
        <w:spacing w:after="0"/>
        <w:ind w:left="0" w:firstLine="0"/>
        <w:jc w:val="both"/>
      </w:pPr>
    </w:p>
    <w:p w:rsidR="001F2D9B" w:rsidRDefault="009E1A6D" w:rsidP="00E17BD4">
      <w:pPr>
        <w:pStyle w:val="B1"/>
        <w:spacing w:after="0"/>
        <w:ind w:left="0" w:firstLine="0"/>
        <w:jc w:val="both"/>
      </w:pPr>
      <w:r>
        <w:t xml:space="preserve">A typical UE implementation uses the same hardware for cell groups. </w:t>
      </w:r>
      <w:r w:rsidR="00F50C62">
        <w:t xml:space="preserve">In general, in DC, </w:t>
      </w:r>
      <w:r w:rsidR="00985C55">
        <w:t xml:space="preserve">sharing of </w:t>
      </w:r>
      <w:r w:rsidR="00F50C62">
        <w:t>a</w:t>
      </w:r>
      <w:r w:rsidR="00985C55">
        <w:t xml:space="preserve"> UE capability between MN and</w:t>
      </w:r>
      <w:r w:rsidR="00F50C62">
        <w:t xml:space="preserve"> SN</w:t>
      </w:r>
      <w:r w:rsidR="00985C55">
        <w:t xml:space="preserve"> needs to be defined if it cannot be left to UE implementation</w:t>
      </w:r>
      <w:r w:rsidR="00F50C62">
        <w:t xml:space="preserve">. The sharing can be semi-static (i.e. configured by higher layers) or dynamic (i.e. </w:t>
      </w:r>
      <w:r w:rsidR="00985C55">
        <w:t xml:space="preserve">allocation of the UE capability </w:t>
      </w:r>
      <w:r w:rsidR="00F50C62">
        <w:t>can change based</w:t>
      </w:r>
      <w:r w:rsidR="00985C55">
        <w:t xml:space="preserve"> on scheduling</w:t>
      </w:r>
      <w:r w:rsidR="00F50C62">
        <w:t>). A</w:t>
      </w:r>
      <w:r w:rsidR="00985C55">
        <w:t>nother UE capability for which sharing between MN and SN needs to be defined</w:t>
      </w:r>
      <w:r w:rsidR="00F50C62">
        <w:t xml:space="preserve"> is the maximum UE transmission power</w:t>
      </w:r>
      <w:r w:rsidR="00985C55">
        <w:t xml:space="preserve"> (for the same frequency range)</w:t>
      </w:r>
      <w:r w:rsidR="00F50C62">
        <w:t xml:space="preserve">. The difference between PDCCH monitoring and maximum </w:t>
      </w:r>
      <w:r w:rsidR="00985C55">
        <w:t xml:space="preserve">UE </w:t>
      </w:r>
      <w:r w:rsidR="00F50C62">
        <w:t>transmission power</w:t>
      </w:r>
      <w:r w:rsidR="00985C55">
        <w:t xml:space="preserve"> is that decisions</w:t>
      </w:r>
      <w:r w:rsidR="00F50C62">
        <w:t xml:space="preserve"> for the former </w:t>
      </w:r>
      <w:r w:rsidR="00985C55">
        <w:t xml:space="preserve">(PDCCH candidates to monitor) </w:t>
      </w:r>
      <w:r w:rsidR="00F50C62">
        <w:t>are made at diffe</w:t>
      </w:r>
      <w:r w:rsidR="00985C55">
        <w:t>rent, uncoordinated, nodes (MN and SN) while decisions</w:t>
      </w:r>
      <w:r w:rsidR="00F50C62">
        <w:t xml:space="preserve"> for the latter </w:t>
      </w:r>
      <w:r w:rsidR="00985C55">
        <w:t xml:space="preserve">(transmission power to allocate per channel/signal) </w:t>
      </w:r>
      <w:r w:rsidR="00F50C62">
        <w:t>are made at the same node</w:t>
      </w:r>
      <w:r w:rsidR="00985C55">
        <w:t xml:space="preserve"> (</w:t>
      </w:r>
      <w:r w:rsidR="00F50C62">
        <w:t xml:space="preserve">UE). This makes dynamic sharing of the PDCCH monitoring capability not possible in practice while dynamic sharing of the maximum </w:t>
      </w:r>
      <w:r w:rsidR="00985C55">
        <w:t xml:space="preserve">UE </w:t>
      </w:r>
      <w:r w:rsidR="00F50C62">
        <w:t xml:space="preserve">transmission power is possible.  </w:t>
      </w:r>
    </w:p>
    <w:p w:rsidR="001F2D9B" w:rsidRDefault="001F2D9B" w:rsidP="00E17BD4">
      <w:pPr>
        <w:pStyle w:val="B1"/>
        <w:spacing w:after="0"/>
        <w:ind w:left="0" w:firstLine="0"/>
        <w:jc w:val="both"/>
      </w:pPr>
    </w:p>
    <w:p w:rsidR="00F50C62" w:rsidRDefault="00FE333B" w:rsidP="00FE333B">
      <w:pPr>
        <w:spacing w:after="0"/>
        <w:jc w:val="both"/>
      </w:pPr>
      <w:r>
        <w:t>With</w:t>
      </w:r>
      <w:r w:rsidR="00F50C62">
        <w:t xml:space="preserve"> Option</w:t>
      </w:r>
      <w:r w:rsidR="00CE09CA">
        <w:t>s</w:t>
      </w:r>
      <w:r w:rsidR="00F50C62">
        <w:t xml:space="preserve"> 2 and 3, </w:t>
      </w:r>
      <w:r>
        <w:t xml:space="preserve">the </w:t>
      </w:r>
      <w:r w:rsidRPr="00E54E61">
        <w:t xml:space="preserve">UE can treat all cells as if they are in a same CG for determining a number of PDCCH candidates or non-overlapping CCEs that the UE is expected to monitor on a cell with SCS configuration </w:t>
      </w:r>
      <w:r w:rsidRPr="00E54E61">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3.65pt" o:ole="">
            <v:imagedata r:id="rId8" o:title=""/>
          </v:shape>
          <o:OLEObject Type="Embed" ProgID="Equation.3" ShapeID="_x0000_i1025" DrawAspect="Content" ObjectID="_1615257341" r:id="rId9"/>
        </w:object>
      </w:r>
      <w:r w:rsidRPr="00E54E61">
        <w:t xml:space="preserve">. </w:t>
      </w:r>
      <w:r>
        <w:t xml:space="preserve">However, </w:t>
      </w:r>
      <w:r w:rsidR="00F50C62">
        <w:t xml:space="preserve">it is not enough for the MN </w:t>
      </w:r>
      <w:r>
        <w:t xml:space="preserve">and SN </w:t>
      </w:r>
      <w:r w:rsidR="00F50C62">
        <w:t xml:space="preserve">to </w:t>
      </w:r>
      <w:r>
        <w:t>exchange</w:t>
      </w:r>
      <w:r w:rsidR="00F50C62" w:rsidRPr="001F2D9B">
        <w:t xml:space="preserve"> the values of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or for the MN to signal to the SN the maximum value of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for the SN in order for the UE to be able to make a correct determination</w:t>
      </w:r>
      <w:r w:rsidR="00F50C62" w:rsidRPr="001F2D9B">
        <w:t>.</w:t>
      </w:r>
      <w:r>
        <w:t xml:space="preserve"> </w:t>
      </w:r>
    </w:p>
    <w:p w:rsidR="00F50C62" w:rsidRDefault="00F50C62" w:rsidP="00E17BD4">
      <w:pPr>
        <w:pStyle w:val="B1"/>
        <w:spacing w:after="0"/>
        <w:ind w:left="0" w:firstLine="0"/>
        <w:jc w:val="both"/>
      </w:pPr>
    </w:p>
    <w:p w:rsidR="00FE333B" w:rsidRPr="00E54E61" w:rsidRDefault="00FE333B" w:rsidP="00FE333B">
      <w:pPr>
        <w:spacing w:after="0"/>
        <w:jc w:val="both"/>
      </w:pPr>
      <w:r>
        <w:t>A first</w:t>
      </w:r>
      <w:r w:rsidRPr="00E54E61">
        <w:t xml:space="preserve"> issue is whether the SCS of the active DL BWP is used as reference for a cell. As the MN cannot know BWP switching on cells of the </w:t>
      </w:r>
      <w:r>
        <w:t>SN and cannot know active/inactive SCell on the SN</w:t>
      </w:r>
      <w:r w:rsidRPr="00E54E61">
        <w:t xml:space="preserve">, </w:t>
      </w:r>
      <w:r>
        <w:t xml:space="preserve">and the reverse, </w:t>
      </w:r>
      <w:r w:rsidRPr="00E54E61">
        <w:t xml:space="preserve">having the active DL </w:t>
      </w:r>
      <w:r>
        <w:t>BWP provide</w:t>
      </w:r>
      <w:r w:rsidRPr="00E54E61">
        <w:t xml:space="preserve"> the SCS reference for a cell can be problematic. Alternative options are to use the SCS for the BWP indicated by </w:t>
      </w:r>
      <w:r w:rsidRPr="00E54E61">
        <w:rPr>
          <w:i/>
          <w:iCs/>
        </w:rPr>
        <w:t>firstActiveDownlinkBWP</w:t>
      </w:r>
      <w:r w:rsidRPr="00E54E61">
        <w:rPr>
          <w:iCs/>
        </w:rPr>
        <w:t xml:space="preserve"> or the SCS for the BWP with the smallest index, and so on.</w:t>
      </w:r>
      <w:r>
        <w:rPr>
          <w:iCs/>
        </w:rPr>
        <w:t xml:space="preserve"> This can lead to </w:t>
      </w:r>
      <w:r>
        <w:rPr>
          <w:iCs/>
        </w:rPr>
        <w:lastRenderedPageBreak/>
        <w:t xml:space="preserve">suboptimal operation where the smallest SCS needs to be assumed and requires RAN1 specification support to differentiate CA from </w:t>
      </w:r>
      <w:r w:rsidR="004F1820">
        <w:rPr>
          <w:iCs/>
        </w:rPr>
        <w:t>NR-</w:t>
      </w:r>
      <w:r>
        <w:rPr>
          <w:iCs/>
        </w:rPr>
        <w:t>DC.</w:t>
      </w:r>
      <w:r w:rsidRPr="00E54E61">
        <w:rPr>
          <w:iCs/>
        </w:rPr>
        <w:t xml:space="preserve"> </w:t>
      </w:r>
    </w:p>
    <w:p w:rsidR="00FE333B" w:rsidRPr="00E54E61" w:rsidRDefault="00FE333B" w:rsidP="00FE333B">
      <w:pPr>
        <w:spacing w:after="0"/>
        <w:jc w:val="both"/>
        <w:rPr>
          <w:rFonts w:cs="Arial"/>
          <w:kern w:val="2"/>
          <w:lang w:eastAsia="ja-JP"/>
        </w:rPr>
      </w:pPr>
    </w:p>
    <w:p w:rsidR="00FE333B" w:rsidRDefault="00FE333B" w:rsidP="00FE333B">
      <w:pPr>
        <w:spacing w:after="0"/>
        <w:jc w:val="both"/>
        <w:rPr>
          <w:rFonts w:cs="Arial"/>
          <w:kern w:val="2"/>
          <w:lang w:eastAsia="ja-JP"/>
        </w:rPr>
      </w:pPr>
      <w:r>
        <w:rPr>
          <w:rFonts w:cs="Arial"/>
          <w:kern w:val="2"/>
          <w:lang w:eastAsia="ja-JP"/>
        </w:rPr>
        <w:t>A second issue is the determination of the USS sets the UE drops on the PCell and the PSCell. It is a reasonable assumption that, similar to single CG operation, a UE does not expect to drop CSS sets on the MCG and the SCG. Relevant discussion is omitted for brevity although the restriction on the number of non-overlapping CCEs a UE can perform channel estimation per slot b</w:t>
      </w:r>
      <w:r w:rsidR="009E1A6D">
        <w:rPr>
          <w:rFonts w:cs="Arial"/>
          <w:kern w:val="2"/>
          <w:lang w:eastAsia="ja-JP"/>
        </w:rPr>
        <w:t>ecomes a more severe limit in NR</w:t>
      </w:r>
      <w:r>
        <w:rPr>
          <w:rFonts w:cs="Arial"/>
          <w:kern w:val="2"/>
          <w:lang w:eastAsia="ja-JP"/>
        </w:rPr>
        <w:t xml:space="preserve">-DC and leads to an increased probability for dropping USS sets on the PCell/PSCell. Also, as in Rel-15, the UE can expect that no USS sets are dropped for the SCells on the MCG or the SCG. </w:t>
      </w:r>
    </w:p>
    <w:p w:rsidR="00FE333B" w:rsidRDefault="00FE333B" w:rsidP="00FE333B">
      <w:pPr>
        <w:spacing w:after="0"/>
        <w:jc w:val="both"/>
        <w:rPr>
          <w:rFonts w:cs="Arial"/>
          <w:kern w:val="2"/>
          <w:lang w:eastAsia="ja-JP"/>
        </w:rPr>
      </w:pPr>
    </w:p>
    <w:p w:rsidR="00FE333B" w:rsidRDefault="00FE333B" w:rsidP="00FE333B">
      <w:pPr>
        <w:spacing w:after="0"/>
        <w:jc w:val="both"/>
        <w:rPr>
          <w:rFonts w:cs="Arial"/>
          <w:kern w:val="2"/>
          <w:lang w:eastAsia="ja-JP"/>
        </w:rPr>
      </w:pPr>
      <w:r>
        <w:rPr>
          <w:rFonts w:cs="Arial"/>
          <w:kern w:val="2"/>
          <w:lang w:eastAsia="ja-JP"/>
        </w:rPr>
        <w:t xml:space="preserve">For dropping of USS sets, the PCell should not be fully prioritized because this will create an imbalance in the UE ability to monitor PDCCH candidates in USS sets of the PSCell, including a complete inability (e.g. when the UE drops at least one USS set of the PCell). To avoid this, the UE should assign monitored PDCCH candidates and non-overlapping CCEs to USS sets in an alternating manner between the PCell and the PSCell starting from the PCell. Another alternative is for the MN to indicate to the SN the available SS indexes for the SN to configure on the PSCell. This increases complexity for the overall operation and requires material RAN1 and RAN2 specification impact. </w:t>
      </w:r>
    </w:p>
    <w:p w:rsidR="00FE333B" w:rsidRDefault="00FE333B" w:rsidP="00FE333B">
      <w:pPr>
        <w:spacing w:after="0"/>
        <w:jc w:val="both"/>
        <w:rPr>
          <w:rFonts w:cs="Arial"/>
          <w:kern w:val="2"/>
          <w:lang w:eastAsia="ja-JP"/>
        </w:rPr>
      </w:pPr>
    </w:p>
    <w:p w:rsidR="008B3C7C" w:rsidRDefault="008B3C7C" w:rsidP="008B3C7C">
      <w:pPr>
        <w:spacing w:after="0"/>
        <w:jc w:val="both"/>
        <w:rPr>
          <w:rFonts w:cs="Arial"/>
          <w:kern w:val="2"/>
          <w:lang w:eastAsia="ja-JP"/>
        </w:rPr>
      </w:pPr>
      <w:r>
        <w:rPr>
          <w:rFonts w:cs="Arial"/>
          <w:kern w:val="2"/>
          <w:lang w:eastAsia="ja-JP"/>
        </w:rPr>
        <w:t xml:space="preserve">In addition to </w:t>
      </w:r>
      <w:r w:rsidR="00CE09CA">
        <w:rPr>
          <w:rFonts w:cs="Arial"/>
          <w:kern w:val="2"/>
          <w:lang w:eastAsia="ja-JP"/>
        </w:rPr>
        <w:t>additional</w:t>
      </w:r>
      <w:r>
        <w:rPr>
          <w:rFonts w:cs="Arial"/>
          <w:kern w:val="2"/>
          <w:lang w:eastAsia="ja-JP"/>
        </w:rPr>
        <w:t xml:space="preserve"> signaling</w:t>
      </w:r>
      <w:r w:rsidR="00CE09CA">
        <w:rPr>
          <w:rFonts w:cs="Arial"/>
          <w:kern w:val="2"/>
          <w:lang w:eastAsia="ja-JP"/>
        </w:rPr>
        <w:t xml:space="preserve"> and specification support</w:t>
      </w:r>
      <w:r>
        <w:rPr>
          <w:rFonts w:cs="Arial"/>
          <w:kern w:val="2"/>
          <w:lang w:eastAsia="ja-JP"/>
        </w:rPr>
        <w:t xml:space="preserve">, </w:t>
      </w:r>
      <w:r w:rsidR="00CE09CA">
        <w:rPr>
          <w:rFonts w:cs="Arial"/>
          <w:kern w:val="2"/>
          <w:lang w:eastAsia="ja-JP"/>
        </w:rPr>
        <w:t>Options 2 and 3 require</w:t>
      </w:r>
      <w:r>
        <w:rPr>
          <w:rFonts w:cs="Arial"/>
          <w:kern w:val="2"/>
          <w:lang w:eastAsia="ja-JP"/>
        </w:rPr>
        <w:t xml:space="preserve"> coordination/restriction among CGs on the monitoring periodicity and duration of SS sets and on how PDCCH candidates/non-overlapping CCEs are linked to indexes of USS sets</w:t>
      </w:r>
      <w:r w:rsidR="00CE09CA">
        <w:rPr>
          <w:rFonts w:cs="Arial"/>
          <w:kern w:val="2"/>
          <w:lang w:eastAsia="ja-JP"/>
        </w:rPr>
        <w:t xml:space="preserve"> and, despite this, can still lead to the UE dropping PDCCH candidates without a scheduler knowing</w:t>
      </w:r>
      <w:r>
        <w:rPr>
          <w:rFonts w:cs="Arial"/>
          <w:kern w:val="2"/>
          <w:lang w:eastAsia="ja-JP"/>
        </w:rPr>
        <w:t xml:space="preserve">. For example, if (a) the UE monitors first and second USS sets on the PCell with shorter periodicity than a first USS set on the PSCell, (b) the corresponding slots overlap, and (c) the UE needs to drop one of the three USS sets then, unless there is tight coordination/restriction of configurations among CGs, the MCG cannot know whether or not the UE will drop the second USS set on the PCell. Actual deployments can have more complex setups than the one in the above example that nevertheless illustrates the scheduling ambiguity that can occur for the PCell and the PSCell. </w:t>
      </w:r>
    </w:p>
    <w:p w:rsidR="008B3C7C" w:rsidRDefault="008B3C7C" w:rsidP="008B3C7C">
      <w:pPr>
        <w:spacing w:after="0"/>
        <w:jc w:val="both"/>
        <w:rPr>
          <w:rFonts w:cs="Arial"/>
          <w:kern w:val="2"/>
          <w:lang w:eastAsia="ja-JP"/>
        </w:rPr>
      </w:pPr>
    </w:p>
    <w:p w:rsidR="00FE333B" w:rsidRDefault="008B3C7C" w:rsidP="00FE333B">
      <w:pPr>
        <w:spacing w:after="0"/>
        <w:jc w:val="both"/>
        <w:rPr>
          <w:rFonts w:cs="Arial"/>
          <w:kern w:val="2"/>
          <w:lang w:eastAsia="ja-JP"/>
        </w:rPr>
      </w:pPr>
      <w:r>
        <w:rPr>
          <w:rFonts w:cs="Arial"/>
          <w:kern w:val="2"/>
          <w:lang w:eastAsia="ja-JP"/>
        </w:rPr>
        <w:t xml:space="preserve">In summary, Options 2 and 3 can lead to a UE dropping PDCCH candidates </w:t>
      </w:r>
      <w:r w:rsidR="00CE09CA">
        <w:rPr>
          <w:rFonts w:cs="Arial"/>
          <w:kern w:val="2"/>
          <w:lang w:eastAsia="ja-JP"/>
        </w:rPr>
        <w:t>without the MN or SN knowing,</w:t>
      </w:r>
      <w:r>
        <w:rPr>
          <w:rFonts w:cs="Arial"/>
          <w:kern w:val="2"/>
          <w:lang w:eastAsia="ja-JP"/>
        </w:rPr>
        <w:t xml:space="preserve"> require </w:t>
      </w:r>
      <w:r w:rsidR="00CE09CA">
        <w:rPr>
          <w:rFonts w:cs="Arial"/>
          <w:kern w:val="2"/>
          <w:lang w:eastAsia="ja-JP"/>
        </w:rPr>
        <w:t>materially</w:t>
      </w:r>
      <w:r>
        <w:rPr>
          <w:rFonts w:cs="Arial"/>
          <w:kern w:val="2"/>
          <w:lang w:eastAsia="ja-JP"/>
        </w:rPr>
        <w:t xml:space="preserve"> additional specifications in </w:t>
      </w:r>
      <w:r w:rsidR="000C764C">
        <w:rPr>
          <w:rFonts w:cs="Arial"/>
          <w:kern w:val="2"/>
          <w:lang w:eastAsia="ja-JP"/>
        </w:rPr>
        <w:t>TS38.213 and TS38.331</w:t>
      </w:r>
      <w:r>
        <w:rPr>
          <w:rFonts w:cs="Arial"/>
          <w:kern w:val="2"/>
          <w:lang w:eastAsia="ja-JP"/>
        </w:rPr>
        <w:t xml:space="preserve">, increase complexity for </w:t>
      </w:r>
      <w:r w:rsidR="00260079">
        <w:rPr>
          <w:rFonts w:cs="Arial"/>
          <w:kern w:val="2"/>
          <w:lang w:eastAsia="ja-JP"/>
        </w:rPr>
        <w:t>NR-</w:t>
      </w:r>
      <w:r>
        <w:rPr>
          <w:rFonts w:cs="Arial"/>
          <w:kern w:val="2"/>
          <w:lang w:eastAsia="ja-JP"/>
        </w:rPr>
        <w:t xml:space="preserve">DC operation, and are unlikely to offer any benefit over the semi-static sharing of the UE capability in Option 1. </w:t>
      </w:r>
    </w:p>
    <w:p w:rsidR="008B3C7C" w:rsidRDefault="008B3C7C" w:rsidP="00FE333B">
      <w:pPr>
        <w:spacing w:after="0"/>
        <w:jc w:val="both"/>
        <w:rPr>
          <w:rFonts w:cs="Arial"/>
          <w:kern w:val="2"/>
          <w:lang w:eastAsia="ja-JP"/>
        </w:rPr>
      </w:pPr>
    </w:p>
    <w:p w:rsidR="008B3C7C" w:rsidRDefault="008B3C7C" w:rsidP="008B3C7C">
      <w:pPr>
        <w:spacing w:after="0"/>
        <w:jc w:val="both"/>
        <w:rPr>
          <w:rFonts w:cs="Arial"/>
          <w:kern w:val="2"/>
          <w:lang w:eastAsia="ja-JP"/>
        </w:rPr>
      </w:pPr>
      <w:r>
        <w:rPr>
          <w:rFonts w:cs="Arial"/>
          <w:kern w:val="2"/>
          <w:lang w:eastAsia="ja-JP"/>
        </w:rPr>
        <w:t xml:space="preserve">Option 4 is too restrictive for </w:t>
      </w:r>
      <w:r w:rsidR="009E1A6D">
        <w:rPr>
          <w:rFonts w:cs="Arial"/>
          <w:kern w:val="2"/>
          <w:lang w:eastAsia="ja-JP"/>
        </w:rPr>
        <w:t>NR-DC</w:t>
      </w:r>
      <w:r>
        <w:rPr>
          <w:rFonts w:cs="Arial"/>
          <w:kern w:val="2"/>
          <w:lang w:eastAsia="ja-JP"/>
        </w:rPr>
        <w:t xml:space="preserve"> operation</w:t>
      </w:r>
      <w:r w:rsidR="00F361A9">
        <w:rPr>
          <w:rFonts w:cs="Arial"/>
          <w:kern w:val="2"/>
          <w:lang w:eastAsia="ja-JP"/>
        </w:rPr>
        <w:t xml:space="preserve"> as it</w:t>
      </w:r>
      <w:r w:rsidR="00CE09CA">
        <w:rPr>
          <w:rFonts w:cs="Arial"/>
          <w:kern w:val="2"/>
          <w:lang w:eastAsia="ja-JP"/>
        </w:rPr>
        <w:t xml:space="preserve"> requires unreasonable</w:t>
      </w:r>
      <w:r w:rsidR="00B24150">
        <w:rPr>
          <w:rFonts w:cs="Arial"/>
          <w:kern w:val="2"/>
          <w:lang w:eastAsia="ja-JP"/>
        </w:rPr>
        <w:t xml:space="preserve"> limitations o</w:t>
      </w:r>
      <w:r>
        <w:rPr>
          <w:rFonts w:cs="Arial"/>
          <w:kern w:val="2"/>
          <w:lang w:eastAsia="ja-JP"/>
        </w:rPr>
        <w:t>n the number of configured cells per CG.</w:t>
      </w:r>
    </w:p>
    <w:p w:rsidR="008B3C7C" w:rsidRDefault="008B3C7C" w:rsidP="00FE333B">
      <w:pPr>
        <w:spacing w:after="0"/>
        <w:jc w:val="both"/>
        <w:rPr>
          <w:rFonts w:cs="Arial"/>
          <w:kern w:val="2"/>
          <w:lang w:eastAsia="ja-JP"/>
        </w:rPr>
      </w:pPr>
    </w:p>
    <w:p w:rsidR="008B3C7C" w:rsidRDefault="008B3C7C" w:rsidP="00FE333B">
      <w:pPr>
        <w:spacing w:after="0"/>
        <w:jc w:val="both"/>
        <w:rPr>
          <w:rFonts w:cs="Arial"/>
          <w:kern w:val="2"/>
          <w:lang w:eastAsia="ja-JP"/>
        </w:rPr>
      </w:pPr>
      <w:r>
        <w:rPr>
          <w:rFonts w:cs="Arial"/>
          <w:kern w:val="2"/>
          <w:lang w:eastAsia="ja-JP"/>
        </w:rPr>
        <w:t>Based on the above, Option 1 is preferred and the following are proposed.</w:t>
      </w:r>
    </w:p>
    <w:p w:rsidR="008B3C7C" w:rsidRDefault="008B3C7C" w:rsidP="00FE333B">
      <w:pPr>
        <w:spacing w:after="0"/>
        <w:jc w:val="both"/>
        <w:rPr>
          <w:rFonts w:cs="Arial"/>
          <w:kern w:val="2"/>
          <w:lang w:eastAsia="ja-JP"/>
        </w:rPr>
      </w:pPr>
    </w:p>
    <w:p w:rsidR="008B3C7C" w:rsidRPr="0036697F" w:rsidRDefault="008B3C7C" w:rsidP="00A54B1A">
      <w:pPr>
        <w:spacing w:after="0"/>
        <w:jc w:val="both"/>
        <w:rPr>
          <w:b/>
          <w:u w:val="single"/>
        </w:rPr>
      </w:pPr>
      <w:r w:rsidRPr="0036697F">
        <w:rPr>
          <w:b/>
          <w:u w:val="single"/>
        </w:rPr>
        <w:t xml:space="preserve">Proposal 1: Send an LS to RAN2 to define higher layer parameters </w:t>
      </w:r>
      <w:r w:rsidR="00A54B1A" w:rsidRPr="0036697F">
        <w:rPr>
          <w:b/>
          <w:i/>
          <w:u w:val="single"/>
        </w:rPr>
        <w:t>pdcch-BlindDetectionMCG</w:t>
      </w:r>
      <w:r w:rsidRPr="0036697F">
        <w:rPr>
          <w:b/>
          <w:u w:val="single"/>
        </w:rPr>
        <w:t xml:space="preserve"> </w:t>
      </w:r>
      <w:r w:rsidR="0036697F" w:rsidRPr="0036697F">
        <w:rPr>
          <w:b/>
          <w:u w:val="single"/>
        </w:rPr>
        <w:t xml:space="preserve">and </w:t>
      </w:r>
      <w:r w:rsidR="0036697F" w:rsidRPr="0036697F">
        <w:rPr>
          <w:b/>
          <w:i/>
          <w:u w:val="single"/>
        </w:rPr>
        <w:t>pdcch-BlindDetectionSCG</w:t>
      </w:r>
      <w:r w:rsidR="0036697F" w:rsidRPr="0036697F">
        <w:rPr>
          <w:b/>
          <w:u w:val="single"/>
        </w:rPr>
        <w:t xml:space="preserve"> that </w:t>
      </w:r>
      <w:r w:rsidR="0036697F">
        <w:rPr>
          <w:b/>
          <w:u w:val="single"/>
        </w:rPr>
        <w:t xml:space="preserve">the MN uses to </w:t>
      </w:r>
      <w:r w:rsidR="0036697F" w:rsidRPr="0036697F">
        <w:rPr>
          <w:b/>
          <w:u w:val="single"/>
        </w:rPr>
        <w:t xml:space="preserve">respectively provide to a UE </w:t>
      </w:r>
      <w:r w:rsidR="0036697F" w:rsidRPr="0036697F">
        <w:rPr>
          <w:b/>
          <w:position w:val="-10"/>
          <w:u w:val="single"/>
        </w:rPr>
        <w:object w:dxaOrig="460" w:dyaOrig="340">
          <v:shape id="_x0000_i1026" type="#_x0000_t75" style="width:21.65pt;height:19pt" o:ole="">
            <v:imagedata r:id="rId10" o:title=""/>
          </v:shape>
          <o:OLEObject Type="Embed" ProgID="Equation.3" ShapeID="_x0000_i1026" DrawAspect="Content" ObjectID="_1615257342" r:id="rId11"/>
        </w:object>
      </w:r>
      <w:r w:rsidR="0036697F" w:rsidRPr="0036697F">
        <w:rPr>
          <w:b/>
          <w:u w:val="single"/>
        </w:rPr>
        <w:t xml:space="preserve"> for the MCG </w:t>
      </w:r>
      <w:r w:rsidR="00A54B1A" w:rsidRPr="0036697F">
        <w:rPr>
          <w:b/>
          <w:u w:val="single"/>
        </w:rPr>
        <w:t>and</w:t>
      </w:r>
      <w:r w:rsidR="0036697F" w:rsidRPr="0036697F">
        <w:rPr>
          <w:b/>
          <w:u w:val="single"/>
        </w:rPr>
        <w:t xml:space="preserve"> </w:t>
      </w:r>
      <w:r w:rsidR="0036697F" w:rsidRPr="0036697F">
        <w:rPr>
          <w:b/>
          <w:position w:val="-10"/>
          <w:u w:val="single"/>
        </w:rPr>
        <w:object w:dxaOrig="460" w:dyaOrig="340">
          <v:shape id="_x0000_i1027" type="#_x0000_t75" style="width:21.65pt;height:19pt" o:ole="">
            <v:imagedata r:id="rId10" o:title=""/>
          </v:shape>
          <o:OLEObject Type="Embed" ProgID="Equation.3" ShapeID="_x0000_i1027" DrawAspect="Content" ObjectID="_1615257343" r:id="rId12"/>
        </w:object>
      </w:r>
      <w:r w:rsidR="0036697F" w:rsidRPr="0036697F">
        <w:rPr>
          <w:b/>
        </w:rPr>
        <w:t xml:space="preserve"> for the SCG</w:t>
      </w:r>
      <w:r w:rsidR="0036697F" w:rsidRPr="0036697F">
        <w:rPr>
          <w:b/>
          <w:u w:val="single"/>
        </w:rPr>
        <w:t>.</w:t>
      </w:r>
      <w:r w:rsidR="00A54B1A" w:rsidRPr="0036697F">
        <w:rPr>
          <w:b/>
          <w:u w:val="single"/>
        </w:rPr>
        <w:t xml:space="preserve"> The MN also provides </w:t>
      </w:r>
      <w:r w:rsidR="00A54B1A" w:rsidRPr="0036697F">
        <w:rPr>
          <w:b/>
          <w:i/>
          <w:u w:val="single"/>
        </w:rPr>
        <w:t>pdcch-BlindDetectionSCG</w:t>
      </w:r>
      <w:r w:rsidR="00A54B1A" w:rsidRPr="0036697F">
        <w:rPr>
          <w:b/>
          <w:u w:val="single"/>
        </w:rPr>
        <w:t xml:space="preserve"> to the </w:t>
      </w:r>
      <w:r w:rsidR="00C129D8" w:rsidRPr="0036697F">
        <w:rPr>
          <w:b/>
          <w:u w:val="single"/>
        </w:rPr>
        <w:t>S</w:t>
      </w:r>
      <w:r w:rsidR="00A54B1A" w:rsidRPr="0036697F">
        <w:rPr>
          <w:b/>
          <w:u w:val="single"/>
        </w:rPr>
        <w:t>N.</w:t>
      </w:r>
    </w:p>
    <w:p w:rsidR="008B3C7C" w:rsidRDefault="008B3C7C" w:rsidP="00FE333B">
      <w:pPr>
        <w:spacing w:after="0"/>
        <w:jc w:val="both"/>
        <w:rPr>
          <w:rFonts w:cs="Arial"/>
          <w:kern w:val="2"/>
          <w:lang w:eastAsia="ja-JP"/>
        </w:rPr>
      </w:pPr>
      <w:r>
        <w:rPr>
          <w:rFonts w:cs="Arial"/>
          <w:kern w:val="2"/>
          <w:lang w:eastAsia="ja-JP"/>
        </w:rPr>
        <w:t xml:space="preserve">   </w:t>
      </w:r>
    </w:p>
    <w:p w:rsidR="0036697F" w:rsidRPr="0036697F" w:rsidRDefault="00A54B1A" w:rsidP="00A54B1A">
      <w:pPr>
        <w:spacing w:after="0"/>
        <w:jc w:val="both"/>
        <w:rPr>
          <w:b/>
          <w:u w:val="single"/>
        </w:rPr>
      </w:pPr>
      <w:r w:rsidRPr="00A54B1A">
        <w:rPr>
          <w:b/>
          <w:u w:val="single"/>
        </w:rPr>
        <w:t xml:space="preserve">Proposal </w:t>
      </w:r>
      <w:r>
        <w:rPr>
          <w:b/>
          <w:u w:val="single"/>
        </w:rPr>
        <w:t>2</w:t>
      </w:r>
      <w:r w:rsidRPr="00A54B1A">
        <w:rPr>
          <w:b/>
          <w:u w:val="single"/>
        </w:rPr>
        <w:t xml:space="preserve">: </w:t>
      </w:r>
      <w:r>
        <w:rPr>
          <w:b/>
          <w:u w:val="single"/>
        </w:rPr>
        <w:t xml:space="preserve">Update TS38.213 </w:t>
      </w:r>
      <w:r w:rsidR="00260079">
        <w:rPr>
          <w:b/>
          <w:u w:val="single"/>
        </w:rPr>
        <w:t>v15.5</w:t>
      </w:r>
      <w:r w:rsidR="00B37B1F">
        <w:rPr>
          <w:b/>
          <w:u w:val="single"/>
        </w:rPr>
        <w:t xml:space="preserve">.0 </w:t>
      </w:r>
      <w:r>
        <w:rPr>
          <w:b/>
          <w:u w:val="single"/>
        </w:rPr>
        <w:t>according to [2].</w:t>
      </w:r>
      <w:r w:rsidR="0036697F">
        <w:rPr>
          <w:b/>
          <w:u w:val="single"/>
        </w:rPr>
        <w:t xml:space="preserve"> </w:t>
      </w:r>
    </w:p>
    <w:p w:rsidR="008B3C7C" w:rsidRDefault="008B3C7C" w:rsidP="00FE333B">
      <w:pPr>
        <w:spacing w:after="0"/>
        <w:jc w:val="both"/>
        <w:rPr>
          <w:rFonts w:cs="Arial"/>
          <w:kern w:val="2"/>
          <w:lang w:eastAsia="ja-JP"/>
        </w:rPr>
      </w:pPr>
    </w:p>
    <w:p w:rsidR="001F2D9B" w:rsidRDefault="001F2D9B" w:rsidP="00E17BD4">
      <w:pPr>
        <w:pStyle w:val="B1"/>
        <w:spacing w:after="0"/>
        <w:ind w:left="0" w:firstLine="0"/>
        <w:jc w:val="both"/>
      </w:pPr>
    </w:p>
    <w:p w:rsidR="006F7770" w:rsidRDefault="006F7770" w:rsidP="00E17BD4">
      <w:pPr>
        <w:pStyle w:val="B1"/>
        <w:spacing w:after="0"/>
        <w:ind w:left="0" w:firstLine="0"/>
        <w:jc w:val="both"/>
      </w:pPr>
      <w:r>
        <w:t xml:space="preserve">Sharing of the PDCCH monitoring capability can be enhanced, similar to NE-DC power control when the UE is informed of an UL/DL configuration – for the purposes of PDCCH monitoring, the UE can assume that all of its PDCCH monitoring capability is available on one CG in PDCCH monitoring occasions corresponding to UL symbols on the other CG. This can also be considered or left for Rel-16 </w:t>
      </w:r>
      <w:r w:rsidR="009E1A6D">
        <w:t>NR-DC</w:t>
      </w:r>
      <w:r>
        <w:t xml:space="preserve"> as it is not an essential part of completing the specifications for Rel-15 </w:t>
      </w:r>
      <w:r w:rsidR="009E1A6D">
        <w:t>NR-DC</w:t>
      </w:r>
      <w:r>
        <w:t xml:space="preserve">. </w:t>
      </w:r>
    </w:p>
    <w:p w:rsidR="006F7770" w:rsidRDefault="006F7770" w:rsidP="00E17BD4">
      <w:pPr>
        <w:pStyle w:val="B1"/>
        <w:spacing w:after="0"/>
        <w:ind w:left="0" w:firstLine="0"/>
        <w:jc w:val="both"/>
      </w:pPr>
    </w:p>
    <w:p w:rsidR="003B389B" w:rsidRDefault="003B389B" w:rsidP="00C651C5">
      <w:pPr>
        <w:spacing w:after="0"/>
        <w:jc w:val="both"/>
        <w:rPr>
          <w:lang w:eastAsia="ko-KR"/>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A54B1A" w:rsidRPr="008C1C3A" w:rsidRDefault="00935BB9" w:rsidP="00A54B1A">
      <w:pPr>
        <w:pStyle w:val="Reference0"/>
        <w:numPr>
          <w:ilvl w:val="0"/>
          <w:numId w:val="15"/>
        </w:numPr>
        <w:spacing w:after="60"/>
      </w:pPr>
      <w:r>
        <w:t>TS 38.213 v15.5</w:t>
      </w:r>
      <w:r w:rsidR="00A54B1A">
        <w:t>.0</w:t>
      </w:r>
      <w:r w:rsidR="00A54B1A" w:rsidRPr="00C44A43">
        <w:t>, “</w:t>
      </w:r>
      <w:r w:rsidR="00A54B1A">
        <w:t>NR; Physical layer procedures for control”</w:t>
      </w:r>
    </w:p>
    <w:p w:rsidR="0034136F" w:rsidRPr="00E43CBB" w:rsidRDefault="003E7959" w:rsidP="00AA284D">
      <w:pPr>
        <w:widowControl w:val="0"/>
        <w:numPr>
          <w:ilvl w:val="0"/>
          <w:numId w:val="15"/>
        </w:numPr>
        <w:spacing w:after="60"/>
        <w:jc w:val="both"/>
        <w:rPr>
          <w:rFonts w:eastAsia="SimSun"/>
          <w:lang w:eastAsia="zh-CN"/>
        </w:rPr>
      </w:pPr>
      <w:r>
        <w:rPr>
          <w:lang w:eastAsia="ja-JP"/>
        </w:rPr>
        <w:t>R1-190xxxx</w:t>
      </w:r>
      <w:r w:rsidR="00B475A6" w:rsidRPr="00E43CBB">
        <w:rPr>
          <w:lang w:eastAsia="ja-JP"/>
        </w:rPr>
        <w:t>, “</w:t>
      </w:r>
      <w:r w:rsidR="00E43CBB" w:rsidRPr="00E43CBB">
        <w:rPr>
          <w:noProof/>
          <w:lang w:eastAsia="zh-CN"/>
        </w:rPr>
        <w:t>Dra</w:t>
      </w:r>
      <w:r>
        <w:rPr>
          <w:noProof/>
          <w:lang w:eastAsia="zh-CN"/>
        </w:rPr>
        <w:t>ft CR on PDCCH Monitoring for NR</w:t>
      </w:r>
      <w:r w:rsidR="00E43CBB" w:rsidRPr="00E43CBB">
        <w:rPr>
          <w:noProof/>
          <w:lang w:eastAsia="zh-CN"/>
        </w:rPr>
        <w:t>-DC</w:t>
      </w:r>
      <w:r w:rsidR="00B475A6" w:rsidRPr="00E43CBB">
        <w:rPr>
          <w:lang w:eastAsia="ja-JP"/>
        </w:rPr>
        <w:t>”</w:t>
      </w:r>
      <w:r w:rsidR="00E43CBB" w:rsidRPr="00E43CBB">
        <w:rPr>
          <w:lang w:eastAsia="ja-JP"/>
        </w:rPr>
        <w:t>, Samsung</w:t>
      </w:r>
      <w:r w:rsidR="00E4119E">
        <w:rPr>
          <w:lang w:eastAsia="ja-JP"/>
        </w:rPr>
        <w:t>, Nokia, Nokia Shanghai Bell</w:t>
      </w:r>
    </w:p>
    <w:p w:rsidR="00006FFB" w:rsidRPr="008470A5" w:rsidRDefault="00006FFB" w:rsidP="008470A5">
      <w:pPr>
        <w:spacing w:after="0"/>
        <w:rPr>
          <w:rFonts w:eastAsia="Times New Roman" w:cs="Arial"/>
        </w:rPr>
      </w:pPr>
    </w:p>
    <w:sectPr w:rsidR="00006FFB" w:rsidRPr="008470A5"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579" w:rsidRPr="00C47AD2" w:rsidRDefault="00F82579">
      <w:pPr>
        <w:rPr>
          <w:rFonts w:ascii="Arial" w:hAnsi="Arial"/>
          <w:sz w:val="12"/>
        </w:rPr>
      </w:pPr>
      <w:r>
        <w:separator/>
      </w:r>
    </w:p>
  </w:endnote>
  <w:endnote w:type="continuationSeparator" w:id="0">
    <w:p w:rsidR="00F82579" w:rsidRPr="00C47AD2" w:rsidRDefault="00F8257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3218B9"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3218B9"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FF2DE7">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579" w:rsidRPr="00C47AD2" w:rsidRDefault="00F82579">
      <w:pPr>
        <w:rPr>
          <w:rFonts w:ascii="Arial" w:hAnsi="Arial"/>
          <w:sz w:val="12"/>
        </w:rPr>
      </w:pPr>
      <w:r>
        <w:separator/>
      </w:r>
    </w:p>
  </w:footnote>
  <w:footnote w:type="continuationSeparator" w:id="0">
    <w:p w:rsidR="00F82579" w:rsidRPr="00C47AD2" w:rsidRDefault="00F8257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F16D4F"/>
    <w:multiLevelType w:val="hybridMultilevel"/>
    <w:tmpl w:val="F34E7C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767D9"/>
    <w:multiLevelType w:val="hybridMultilevel"/>
    <w:tmpl w:val="77DA6B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6"/>
  </w:num>
  <w:num w:numId="10">
    <w:abstractNumId w:val="5"/>
  </w:num>
  <w:num w:numId="11">
    <w:abstractNumId w:val="6"/>
  </w:num>
  <w:num w:numId="12">
    <w:abstractNumId w:val="2"/>
  </w:num>
  <w:num w:numId="13">
    <w:abstractNumId w:val="28"/>
  </w:num>
  <w:num w:numId="14">
    <w:abstractNumId w:val="19"/>
  </w:num>
  <w:num w:numId="15">
    <w:abstractNumId w:val="27"/>
  </w:num>
  <w:num w:numId="16">
    <w:abstractNumId w:val="4"/>
  </w:num>
  <w:num w:numId="17">
    <w:abstractNumId w:val="3"/>
  </w:num>
  <w:num w:numId="18">
    <w:abstractNumId w:val="16"/>
  </w:num>
  <w:num w:numId="19">
    <w:abstractNumId w:val="21"/>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7"/>
  </w:num>
  <w:num w:numId="40">
    <w:abstractNumId w:val="22"/>
  </w:num>
  <w:num w:numId="41">
    <w:abstractNumId w:val="7"/>
  </w:num>
  <w:num w:numId="42">
    <w:abstractNumId w:val="7"/>
  </w:num>
  <w:num w:numId="43">
    <w:abstractNumId w:val="18"/>
  </w:num>
  <w:num w:numId="44">
    <w:abstractNumId w:val="9"/>
  </w:num>
  <w:num w:numId="45">
    <w:abstractNumId w:val="24"/>
  </w:num>
  <w:num w:numId="46">
    <w:abstractNumId w:val="23"/>
  </w:num>
  <w:num w:numId="47">
    <w:abstractNumId w:val="8"/>
  </w:num>
  <w:num w:numId="4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7DE"/>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64C"/>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9B"/>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79"/>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97F"/>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59"/>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20"/>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12E"/>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77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518"/>
    <w:rsid w:val="008B2BA2"/>
    <w:rsid w:val="008B2E7F"/>
    <w:rsid w:val="008B3097"/>
    <w:rsid w:val="008B35DA"/>
    <w:rsid w:val="008B36B7"/>
    <w:rsid w:val="008B381E"/>
    <w:rsid w:val="008B3B74"/>
    <w:rsid w:val="008B3C7C"/>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BB9"/>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C55"/>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A6D"/>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9D1"/>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B1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150"/>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B1F"/>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29D8"/>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6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9C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12D"/>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74A"/>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691"/>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340"/>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19E"/>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CBB"/>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246"/>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1A9"/>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0C62"/>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579"/>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33B"/>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2DE7"/>
    <w:rsid w:val="00FF3175"/>
    <w:rsid w:val="00FF323A"/>
    <w:rsid w:val="00FF327A"/>
    <w:rsid w:val="00FF34FD"/>
    <w:rsid w:val="00FF3713"/>
    <w:rsid w:val="00FF37A5"/>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522E"/>
  <w15:docId w15:val="{D0711CCF-A882-46F4-8504-06A17C55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AE4B7-D608-4C26-8CFC-6D77E319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1153</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27</cp:revision>
  <cp:lastPrinted>2010-03-24T02:20:00Z</cp:lastPrinted>
  <dcterms:created xsi:type="dcterms:W3CDTF">2019-01-11T19:21:00Z</dcterms:created>
  <dcterms:modified xsi:type="dcterms:W3CDTF">2019-03-28T05:09:00Z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